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7E" w:rsidRPr="00DC202D" w:rsidRDefault="00586E7C" w:rsidP="00DC202D">
      <w:pPr>
        <w:pStyle w:val="NoSpacing"/>
        <w:jc w:val="center"/>
        <w:rPr>
          <w:rFonts w:ascii="Arial" w:eastAsia="Arial" w:hAnsi="Arial" w:cs="Arial"/>
          <w:sz w:val="32"/>
        </w:rPr>
      </w:pPr>
      <w:r w:rsidRPr="00DC202D">
        <w:rPr>
          <w:rFonts w:ascii="Arial" w:hAnsi="Arial" w:cs="Arial"/>
          <w:sz w:val="32"/>
        </w:rPr>
        <w:t>Governor’s Office of Disability Affairs</w:t>
      </w:r>
    </w:p>
    <w:p w:rsidR="00F24E7E" w:rsidRPr="00DC202D" w:rsidRDefault="00586E7C" w:rsidP="00DC202D">
      <w:pPr>
        <w:pStyle w:val="NoSpacing"/>
        <w:jc w:val="center"/>
        <w:rPr>
          <w:rFonts w:ascii="Arial" w:eastAsia="Arial" w:hAnsi="Arial" w:cs="Arial"/>
          <w:b/>
          <w:sz w:val="32"/>
          <w:szCs w:val="30"/>
        </w:rPr>
      </w:pPr>
      <w:r w:rsidRPr="00DC202D">
        <w:rPr>
          <w:rFonts w:ascii="Arial" w:hAnsi="Arial" w:cs="Arial"/>
          <w:b/>
          <w:sz w:val="32"/>
          <w:szCs w:val="30"/>
        </w:rPr>
        <w:t>State As a Model Employer (SAME) Taskforce</w:t>
      </w:r>
    </w:p>
    <w:p w:rsidR="00F24E7E" w:rsidRPr="00DC202D" w:rsidRDefault="00586E7C" w:rsidP="00DC202D">
      <w:pPr>
        <w:pStyle w:val="NoSpacing"/>
        <w:jc w:val="center"/>
        <w:rPr>
          <w:rFonts w:ascii="Arial" w:hAnsi="Arial" w:cs="Arial"/>
          <w:sz w:val="32"/>
        </w:rPr>
      </w:pPr>
      <w:r w:rsidRPr="00DC202D">
        <w:rPr>
          <w:rFonts w:ascii="Arial" w:hAnsi="Arial" w:cs="Arial"/>
          <w:sz w:val="32"/>
        </w:rPr>
        <w:t>August 13, 2021   11:00-12:00</w:t>
      </w:r>
    </w:p>
    <w:p w:rsidR="00DC202D" w:rsidRPr="00DC202D" w:rsidRDefault="00DC202D" w:rsidP="00DC202D">
      <w:pPr>
        <w:pStyle w:val="NoSpacing"/>
        <w:jc w:val="center"/>
        <w:rPr>
          <w:rFonts w:ascii="Arial" w:eastAsia="Arial" w:hAnsi="Arial" w:cs="Arial"/>
          <w:sz w:val="28"/>
        </w:rPr>
      </w:pPr>
    </w:p>
    <w:p w:rsidR="00F24E7E" w:rsidRDefault="00586E7C">
      <w:pPr>
        <w:pStyle w:val="Default"/>
        <w:spacing w:after="240"/>
        <w:rPr>
          <w:rFonts w:ascii="Arial" w:hAnsi="Arial"/>
          <w:sz w:val="28"/>
          <w:szCs w:val="28"/>
        </w:rPr>
      </w:pPr>
      <w:r>
        <w:rPr>
          <w:rFonts w:ascii="Arial" w:hAnsi="Arial"/>
          <w:sz w:val="28"/>
          <w:szCs w:val="28"/>
        </w:rPr>
        <w:t>Roll call</w:t>
      </w:r>
      <w:r w:rsidR="00516929">
        <w:rPr>
          <w:rFonts w:ascii="Arial" w:hAnsi="Arial"/>
          <w:sz w:val="28"/>
          <w:szCs w:val="28"/>
        </w:rPr>
        <w:t xml:space="preserve"> of the SAME Taskforce members and proxies </w:t>
      </w:r>
      <w:r>
        <w:rPr>
          <w:rFonts w:ascii="Arial" w:hAnsi="Arial"/>
          <w:sz w:val="28"/>
          <w:szCs w:val="28"/>
        </w:rPr>
        <w:t>occurred.</w:t>
      </w:r>
    </w:p>
    <w:tbl>
      <w:tblPr>
        <w:tblStyle w:val="TableGrid"/>
        <w:tblW w:w="9895" w:type="dxa"/>
        <w:tblLayout w:type="fixed"/>
        <w:tblLook w:val="04A0" w:firstRow="1" w:lastRow="0" w:firstColumn="1" w:lastColumn="0" w:noHBand="0" w:noVBand="1"/>
      </w:tblPr>
      <w:tblGrid>
        <w:gridCol w:w="265"/>
        <w:gridCol w:w="2340"/>
        <w:gridCol w:w="900"/>
        <w:gridCol w:w="270"/>
        <w:gridCol w:w="2070"/>
        <w:gridCol w:w="900"/>
        <w:gridCol w:w="270"/>
        <w:gridCol w:w="1980"/>
        <w:gridCol w:w="900"/>
      </w:tblGrid>
      <w:tr w:rsidR="00516929" w:rsidRPr="00894221" w:rsidTr="006E186A">
        <w:trPr>
          <w:trHeight w:val="281"/>
        </w:trPr>
        <w:tc>
          <w:tcPr>
            <w:tcW w:w="265" w:type="dxa"/>
          </w:tcPr>
          <w:p w:rsidR="00516929" w:rsidRPr="00894221" w:rsidRDefault="00516929" w:rsidP="006E186A">
            <w:pPr>
              <w:spacing w:line="276" w:lineRule="auto"/>
              <w:rPr>
                <w:rFonts w:ascii="Arial" w:hAnsi="Arial" w:cs="Arial"/>
                <w:b/>
                <w:bCs/>
                <w:sz w:val="22"/>
              </w:rPr>
            </w:pPr>
            <w:r>
              <w:rPr>
                <w:rFonts w:ascii="Arial" w:hAnsi="Arial" w:cs="Arial"/>
                <w:b/>
                <w:bCs/>
                <w:sz w:val="22"/>
              </w:rPr>
              <w:t>√</w:t>
            </w:r>
          </w:p>
        </w:tc>
        <w:tc>
          <w:tcPr>
            <w:tcW w:w="234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 xml:space="preserve">Doug Bordelon           </w:t>
            </w:r>
          </w:p>
        </w:tc>
        <w:tc>
          <w:tcPr>
            <w:tcW w:w="90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DEQ</w:t>
            </w:r>
          </w:p>
        </w:tc>
        <w:tc>
          <w:tcPr>
            <w:tcW w:w="270" w:type="dxa"/>
          </w:tcPr>
          <w:p w:rsidR="00516929" w:rsidRPr="00CC1BFC" w:rsidRDefault="00516929" w:rsidP="006E186A">
            <w:pPr>
              <w:spacing w:line="276" w:lineRule="auto"/>
              <w:rPr>
                <w:rFonts w:ascii="Arial" w:hAnsi="Arial" w:cs="Arial"/>
                <w:bCs/>
                <w:sz w:val="22"/>
              </w:rPr>
            </w:pPr>
            <w:r>
              <w:rPr>
                <w:rFonts w:ascii="Arial" w:hAnsi="Arial" w:cs="Arial"/>
                <w:b/>
                <w:bCs/>
                <w:sz w:val="22"/>
              </w:rPr>
              <w:t>√</w:t>
            </w:r>
          </w:p>
        </w:tc>
        <w:tc>
          <w:tcPr>
            <w:tcW w:w="207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 xml:space="preserve">Shelley Johnson </w:t>
            </w:r>
          </w:p>
        </w:tc>
        <w:tc>
          <w:tcPr>
            <w:tcW w:w="90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DCFS</w:t>
            </w:r>
          </w:p>
        </w:tc>
        <w:tc>
          <w:tcPr>
            <w:tcW w:w="270" w:type="dxa"/>
          </w:tcPr>
          <w:p w:rsidR="00516929" w:rsidRPr="00CC1BFC" w:rsidRDefault="00516929" w:rsidP="006E186A">
            <w:r>
              <w:rPr>
                <w:rFonts w:ascii="Arial" w:hAnsi="Arial" w:cs="Arial"/>
                <w:b/>
                <w:bCs/>
                <w:sz w:val="22"/>
              </w:rPr>
              <w:t>√</w:t>
            </w:r>
          </w:p>
        </w:tc>
        <w:tc>
          <w:tcPr>
            <w:tcW w:w="198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Jim Mitchell</w:t>
            </w:r>
            <w:r w:rsidRPr="00CC1BFC">
              <w:rPr>
                <w:rFonts w:ascii="Arial" w:hAnsi="Arial" w:cs="Arial"/>
                <w:bCs/>
                <w:sz w:val="22"/>
              </w:rPr>
              <w:tab/>
              <w:t xml:space="preserve">        </w:t>
            </w:r>
          </w:p>
        </w:tc>
        <w:tc>
          <w:tcPr>
            <w:tcW w:w="900" w:type="dxa"/>
          </w:tcPr>
          <w:p w:rsidR="00516929" w:rsidRPr="00894221" w:rsidRDefault="00516929" w:rsidP="006E186A">
            <w:pPr>
              <w:spacing w:line="276" w:lineRule="auto"/>
              <w:rPr>
                <w:rFonts w:ascii="Arial" w:hAnsi="Arial" w:cs="Arial"/>
                <w:bCs/>
                <w:sz w:val="22"/>
              </w:rPr>
            </w:pPr>
            <w:r w:rsidRPr="00894221">
              <w:rPr>
                <w:rFonts w:ascii="Arial" w:hAnsi="Arial" w:cs="Arial"/>
                <w:bCs/>
                <w:sz w:val="22"/>
              </w:rPr>
              <w:t>OTS</w:t>
            </w:r>
          </w:p>
        </w:tc>
      </w:tr>
      <w:tr w:rsidR="00516929" w:rsidRPr="00894221" w:rsidTr="006E186A">
        <w:trPr>
          <w:trHeight w:val="269"/>
        </w:trPr>
        <w:tc>
          <w:tcPr>
            <w:tcW w:w="265" w:type="dxa"/>
          </w:tcPr>
          <w:p w:rsidR="00516929" w:rsidRPr="00894221" w:rsidRDefault="00516929" w:rsidP="006E186A">
            <w:pPr>
              <w:spacing w:line="276" w:lineRule="auto"/>
              <w:rPr>
                <w:rFonts w:ascii="Arial" w:hAnsi="Arial" w:cs="Arial"/>
                <w:bCs/>
                <w:sz w:val="22"/>
              </w:rPr>
            </w:pPr>
            <w:r>
              <w:rPr>
                <w:rFonts w:ascii="Arial" w:hAnsi="Arial" w:cs="Arial"/>
                <w:b/>
                <w:bCs/>
                <w:sz w:val="22"/>
              </w:rPr>
              <w:t>√</w:t>
            </w:r>
          </w:p>
        </w:tc>
        <w:tc>
          <w:tcPr>
            <w:tcW w:w="234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 xml:space="preserve">Burgundy Cummings  </w:t>
            </w:r>
          </w:p>
        </w:tc>
        <w:tc>
          <w:tcPr>
            <w:tcW w:w="90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SOS</w:t>
            </w:r>
          </w:p>
        </w:tc>
        <w:tc>
          <w:tcPr>
            <w:tcW w:w="270" w:type="dxa"/>
          </w:tcPr>
          <w:p w:rsidR="00516929" w:rsidRPr="00CC1BFC" w:rsidRDefault="00516929" w:rsidP="006E186A">
            <w:pPr>
              <w:spacing w:line="276" w:lineRule="auto"/>
              <w:rPr>
                <w:rFonts w:ascii="Arial" w:hAnsi="Arial" w:cs="Arial"/>
                <w:bCs/>
                <w:sz w:val="22"/>
              </w:rPr>
            </w:pPr>
            <w:r>
              <w:rPr>
                <w:rFonts w:ascii="Arial" w:hAnsi="Arial" w:cs="Arial"/>
                <w:b/>
                <w:bCs/>
                <w:sz w:val="22"/>
              </w:rPr>
              <w:t>√</w:t>
            </w:r>
          </w:p>
        </w:tc>
        <w:tc>
          <w:tcPr>
            <w:tcW w:w="207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 xml:space="preserve">Sue Killam     </w:t>
            </w:r>
          </w:p>
        </w:tc>
        <w:tc>
          <w:tcPr>
            <w:tcW w:w="90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HDC</w:t>
            </w:r>
          </w:p>
        </w:tc>
        <w:tc>
          <w:tcPr>
            <w:tcW w:w="270" w:type="dxa"/>
          </w:tcPr>
          <w:p w:rsidR="00516929" w:rsidRPr="00CC1BFC" w:rsidRDefault="00516929" w:rsidP="006E186A">
            <w:r>
              <w:rPr>
                <w:rFonts w:ascii="Arial" w:hAnsi="Arial" w:cs="Arial"/>
                <w:b/>
                <w:bCs/>
                <w:sz w:val="22"/>
              </w:rPr>
              <w:t>√</w:t>
            </w:r>
          </w:p>
        </w:tc>
        <w:tc>
          <w:tcPr>
            <w:tcW w:w="198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 xml:space="preserve">Bambi Polotzola  </w:t>
            </w:r>
          </w:p>
        </w:tc>
        <w:tc>
          <w:tcPr>
            <w:tcW w:w="900" w:type="dxa"/>
          </w:tcPr>
          <w:p w:rsidR="00516929" w:rsidRPr="00894221" w:rsidRDefault="00516929" w:rsidP="006E186A">
            <w:pPr>
              <w:spacing w:line="276" w:lineRule="auto"/>
              <w:rPr>
                <w:rFonts w:ascii="Arial" w:hAnsi="Arial" w:cs="Arial"/>
                <w:bCs/>
                <w:sz w:val="22"/>
              </w:rPr>
            </w:pPr>
            <w:r w:rsidRPr="00894221">
              <w:rPr>
                <w:rFonts w:ascii="Arial" w:hAnsi="Arial" w:cs="Arial"/>
                <w:bCs/>
                <w:sz w:val="22"/>
              </w:rPr>
              <w:t>GODA</w:t>
            </w:r>
          </w:p>
        </w:tc>
      </w:tr>
      <w:tr w:rsidR="00516929" w:rsidRPr="00894221" w:rsidTr="006E186A">
        <w:trPr>
          <w:trHeight w:val="281"/>
        </w:trPr>
        <w:tc>
          <w:tcPr>
            <w:tcW w:w="265" w:type="dxa"/>
          </w:tcPr>
          <w:p w:rsidR="00516929" w:rsidRPr="00894221" w:rsidRDefault="00516929" w:rsidP="006E186A">
            <w:pPr>
              <w:spacing w:line="276" w:lineRule="auto"/>
              <w:rPr>
                <w:rFonts w:ascii="Arial" w:hAnsi="Arial" w:cs="Arial"/>
                <w:bCs/>
                <w:sz w:val="22"/>
              </w:rPr>
            </w:pPr>
            <w:r>
              <w:rPr>
                <w:rFonts w:ascii="Arial" w:hAnsi="Arial" w:cs="Arial"/>
                <w:b/>
                <w:bCs/>
                <w:sz w:val="22"/>
              </w:rPr>
              <w:t>√</w:t>
            </w:r>
          </w:p>
        </w:tc>
        <w:tc>
          <w:tcPr>
            <w:tcW w:w="234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 xml:space="preserve">Lauren Guttzeit          </w:t>
            </w:r>
          </w:p>
        </w:tc>
        <w:tc>
          <w:tcPr>
            <w:tcW w:w="90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LDH</w:t>
            </w:r>
          </w:p>
        </w:tc>
        <w:tc>
          <w:tcPr>
            <w:tcW w:w="270" w:type="dxa"/>
          </w:tcPr>
          <w:p w:rsidR="00516929" w:rsidRPr="00CC1BFC" w:rsidRDefault="00516929" w:rsidP="006E186A">
            <w:pPr>
              <w:spacing w:line="276" w:lineRule="auto"/>
              <w:rPr>
                <w:rFonts w:ascii="Arial" w:hAnsi="Arial" w:cs="Arial"/>
                <w:bCs/>
                <w:sz w:val="22"/>
              </w:rPr>
            </w:pPr>
            <w:r>
              <w:rPr>
                <w:rFonts w:ascii="Arial" w:hAnsi="Arial" w:cs="Arial"/>
                <w:bCs/>
                <w:sz w:val="22"/>
              </w:rPr>
              <w:t>P</w:t>
            </w:r>
          </w:p>
        </w:tc>
        <w:tc>
          <w:tcPr>
            <w:tcW w:w="207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Joe Lewis</w:t>
            </w:r>
            <w:r w:rsidRPr="00CC1BFC">
              <w:rPr>
                <w:rFonts w:ascii="Arial" w:hAnsi="Arial" w:cs="Arial"/>
                <w:bCs/>
                <w:sz w:val="22"/>
              </w:rPr>
              <w:tab/>
              <w:t xml:space="preserve">        </w:t>
            </w:r>
          </w:p>
        </w:tc>
        <w:tc>
          <w:tcPr>
            <w:tcW w:w="90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CRP</w:t>
            </w:r>
          </w:p>
        </w:tc>
        <w:tc>
          <w:tcPr>
            <w:tcW w:w="270" w:type="dxa"/>
          </w:tcPr>
          <w:p w:rsidR="00516929" w:rsidRPr="00516929" w:rsidRDefault="00516929" w:rsidP="006E186A">
            <w:pPr>
              <w:rPr>
                <w:rFonts w:ascii="Arial" w:hAnsi="Arial" w:cs="Arial"/>
              </w:rPr>
            </w:pPr>
            <w:r w:rsidRPr="00516929">
              <w:rPr>
                <w:rFonts w:ascii="Arial" w:hAnsi="Arial" w:cs="Arial"/>
                <w:sz w:val="22"/>
              </w:rPr>
              <w:t>P</w:t>
            </w:r>
          </w:p>
        </w:tc>
        <w:tc>
          <w:tcPr>
            <w:tcW w:w="198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 xml:space="preserve">Cheryl Schilling   </w:t>
            </w:r>
          </w:p>
        </w:tc>
        <w:tc>
          <w:tcPr>
            <w:tcW w:w="900" w:type="dxa"/>
          </w:tcPr>
          <w:p w:rsidR="00516929" w:rsidRPr="00894221" w:rsidRDefault="00516929" w:rsidP="006E186A">
            <w:pPr>
              <w:spacing w:line="276" w:lineRule="auto"/>
              <w:rPr>
                <w:rFonts w:ascii="Arial" w:hAnsi="Arial" w:cs="Arial"/>
                <w:bCs/>
                <w:sz w:val="22"/>
                <w:szCs w:val="26"/>
              </w:rPr>
            </w:pPr>
            <w:r w:rsidRPr="00894221">
              <w:rPr>
                <w:rFonts w:ascii="Arial" w:hAnsi="Arial" w:cs="Arial"/>
                <w:bCs/>
                <w:sz w:val="22"/>
              </w:rPr>
              <w:t>DOA</w:t>
            </w:r>
          </w:p>
        </w:tc>
      </w:tr>
      <w:tr w:rsidR="00516929" w:rsidRPr="00894221" w:rsidTr="006E186A">
        <w:trPr>
          <w:trHeight w:val="269"/>
        </w:trPr>
        <w:tc>
          <w:tcPr>
            <w:tcW w:w="265" w:type="dxa"/>
          </w:tcPr>
          <w:p w:rsidR="00516929" w:rsidRPr="00894221" w:rsidRDefault="00516929" w:rsidP="006E186A">
            <w:pPr>
              <w:spacing w:line="276" w:lineRule="auto"/>
              <w:rPr>
                <w:rFonts w:ascii="Arial" w:hAnsi="Arial" w:cs="Arial"/>
                <w:bCs/>
                <w:sz w:val="22"/>
              </w:rPr>
            </w:pPr>
            <w:r>
              <w:rPr>
                <w:rFonts w:ascii="Arial" w:hAnsi="Arial" w:cs="Arial"/>
                <w:bCs/>
                <w:sz w:val="22"/>
              </w:rPr>
              <w:t>P</w:t>
            </w:r>
          </w:p>
        </w:tc>
        <w:tc>
          <w:tcPr>
            <w:tcW w:w="234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 xml:space="preserve">Julie Hagan             </w:t>
            </w:r>
          </w:p>
        </w:tc>
        <w:tc>
          <w:tcPr>
            <w:tcW w:w="90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OCDD</w:t>
            </w:r>
          </w:p>
        </w:tc>
        <w:tc>
          <w:tcPr>
            <w:tcW w:w="270" w:type="dxa"/>
          </w:tcPr>
          <w:p w:rsidR="00516929" w:rsidRPr="00CC1BFC" w:rsidRDefault="00516929" w:rsidP="006E186A">
            <w:pPr>
              <w:spacing w:line="276" w:lineRule="auto"/>
              <w:rPr>
                <w:rFonts w:ascii="Arial" w:hAnsi="Arial" w:cs="Arial"/>
                <w:bCs/>
                <w:sz w:val="22"/>
              </w:rPr>
            </w:pPr>
            <w:r>
              <w:rPr>
                <w:rFonts w:ascii="Arial" w:hAnsi="Arial" w:cs="Arial"/>
                <w:bCs/>
                <w:sz w:val="22"/>
              </w:rPr>
              <w:t>P</w:t>
            </w:r>
          </w:p>
        </w:tc>
        <w:tc>
          <w:tcPr>
            <w:tcW w:w="2070" w:type="dxa"/>
          </w:tcPr>
          <w:p w:rsidR="00516929" w:rsidRPr="00CC1BFC" w:rsidRDefault="00516929" w:rsidP="006E186A">
            <w:pPr>
              <w:spacing w:line="276" w:lineRule="auto"/>
              <w:rPr>
                <w:rFonts w:ascii="Arial" w:hAnsi="Arial" w:cs="Arial"/>
                <w:bCs/>
                <w:sz w:val="22"/>
              </w:rPr>
            </w:pPr>
            <w:r>
              <w:rPr>
                <w:rFonts w:ascii="Arial" w:hAnsi="Arial" w:cs="Arial"/>
                <w:bCs/>
                <w:sz w:val="22"/>
              </w:rPr>
              <w:t>Quin Lawrence</w:t>
            </w:r>
          </w:p>
        </w:tc>
        <w:tc>
          <w:tcPr>
            <w:tcW w:w="900" w:type="dxa"/>
          </w:tcPr>
          <w:p w:rsidR="00516929" w:rsidRPr="00CC1BFC" w:rsidRDefault="00516929" w:rsidP="006E186A">
            <w:pPr>
              <w:spacing w:line="276" w:lineRule="auto"/>
              <w:rPr>
                <w:rFonts w:ascii="Arial" w:hAnsi="Arial" w:cs="Arial"/>
                <w:bCs/>
                <w:sz w:val="22"/>
              </w:rPr>
            </w:pPr>
            <w:r>
              <w:rPr>
                <w:rFonts w:ascii="Arial" w:hAnsi="Arial" w:cs="Arial"/>
                <w:bCs/>
                <w:sz w:val="22"/>
              </w:rPr>
              <w:t>DOTD</w:t>
            </w:r>
          </w:p>
        </w:tc>
        <w:tc>
          <w:tcPr>
            <w:tcW w:w="270" w:type="dxa"/>
          </w:tcPr>
          <w:p w:rsidR="00516929" w:rsidRPr="00CC1BFC" w:rsidRDefault="00516929" w:rsidP="006E186A">
            <w:r>
              <w:rPr>
                <w:rFonts w:ascii="Arial" w:hAnsi="Arial" w:cs="Arial"/>
                <w:b/>
                <w:bCs/>
                <w:sz w:val="22"/>
              </w:rPr>
              <w:t>√</w:t>
            </w:r>
          </w:p>
        </w:tc>
        <w:tc>
          <w:tcPr>
            <w:tcW w:w="198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 xml:space="preserve">Lauren Womack  </w:t>
            </w:r>
          </w:p>
        </w:tc>
        <w:tc>
          <w:tcPr>
            <w:tcW w:w="900" w:type="dxa"/>
          </w:tcPr>
          <w:p w:rsidR="00516929" w:rsidRPr="00894221" w:rsidRDefault="00516929" w:rsidP="006E186A">
            <w:pPr>
              <w:spacing w:line="276" w:lineRule="auto"/>
              <w:rPr>
                <w:rFonts w:ascii="Arial" w:hAnsi="Arial" w:cs="Arial"/>
                <w:bCs/>
                <w:sz w:val="22"/>
              </w:rPr>
            </w:pPr>
            <w:r w:rsidRPr="00894221">
              <w:rPr>
                <w:rFonts w:ascii="Arial" w:hAnsi="Arial" w:cs="Arial"/>
                <w:bCs/>
                <w:sz w:val="22"/>
              </w:rPr>
              <w:t>LCG</w:t>
            </w:r>
          </w:p>
        </w:tc>
      </w:tr>
      <w:tr w:rsidR="00516929" w:rsidRPr="00894221" w:rsidTr="006E186A">
        <w:trPr>
          <w:trHeight w:val="281"/>
        </w:trPr>
        <w:tc>
          <w:tcPr>
            <w:tcW w:w="265" w:type="dxa"/>
          </w:tcPr>
          <w:p w:rsidR="00516929" w:rsidRPr="00894221" w:rsidRDefault="00516929" w:rsidP="006E186A">
            <w:pPr>
              <w:spacing w:line="276" w:lineRule="auto"/>
              <w:rPr>
                <w:rFonts w:ascii="Arial" w:hAnsi="Arial" w:cs="Arial"/>
                <w:bCs/>
                <w:sz w:val="22"/>
              </w:rPr>
            </w:pPr>
            <w:r>
              <w:rPr>
                <w:rFonts w:ascii="Arial" w:hAnsi="Arial" w:cs="Arial"/>
                <w:b/>
                <w:bCs/>
                <w:sz w:val="22"/>
              </w:rPr>
              <w:t>√</w:t>
            </w:r>
          </w:p>
        </w:tc>
        <w:tc>
          <w:tcPr>
            <w:tcW w:w="234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 xml:space="preserve">Samantha Harris        </w:t>
            </w:r>
          </w:p>
        </w:tc>
        <w:tc>
          <w:tcPr>
            <w:tcW w:w="90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SCS</w:t>
            </w:r>
          </w:p>
        </w:tc>
        <w:tc>
          <w:tcPr>
            <w:tcW w:w="270" w:type="dxa"/>
          </w:tcPr>
          <w:p w:rsidR="00516929" w:rsidRPr="00CC1BFC" w:rsidRDefault="00516929" w:rsidP="006E186A">
            <w:pPr>
              <w:spacing w:line="276" w:lineRule="auto"/>
              <w:rPr>
                <w:rFonts w:ascii="Arial" w:hAnsi="Arial" w:cs="Arial"/>
                <w:bCs/>
              </w:rPr>
            </w:pPr>
            <w:r>
              <w:rPr>
                <w:rFonts w:ascii="Arial" w:hAnsi="Arial" w:cs="Arial"/>
                <w:b/>
                <w:bCs/>
                <w:sz w:val="22"/>
              </w:rPr>
              <w:t>√</w:t>
            </w:r>
          </w:p>
        </w:tc>
        <w:tc>
          <w:tcPr>
            <w:tcW w:w="207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 xml:space="preserve">Tanisha Matthews </w:t>
            </w:r>
          </w:p>
        </w:tc>
        <w:tc>
          <w:tcPr>
            <w:tcW w:w="90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DOC</w:t>
            </w:r>
          </w:p>
        </w:tc>
        <w:tc>
          <w:tcPr>
            <w:tcW w:w="270" w:type="dxa"/>
          </w:tcPr>
          <w:p w:rsidR="00516929" w:rsidRPr="00CC1BFC" w:rsidRDefault="00516929" w:rsidP="006E186A">
            <w:r>
              <w:rPr>
                <w:rFonts w:ascii="Arial" w:hAnsi="Arial" w:cs="Arial"/>
                <w:b/>
                <w:bCs/>
                <w:sz w:val="22"/>
              </w:rPr>
              <w:t>√</w:t>
            </w:r>
          </w:p>
        </w:tc>
        <w:tc>
          <w:tcPr>
            <w:tcW w:w="1980" w:type="dxa"/>
          </w:tcPr>
          <w:p w:rsidR="00516929" w:rsidRPr="00CC1BFC" w:rsidRDefault="00516929" w:rsidP="006E186A">
            <w:pPr>
              <w:spacing w:line="276" w:lineRule="auto"/>
              <w:rPr>
                <w:rFonts w:ascii="Arial" w:hAnsi="Arial" w:cs="Arial"/>
                <w:bCs/>
                <w:sz w:val="22"/>
              </w:rPr>
            </w:pPr>
            <w:r w:rsidRPr="00CC1BFC">
              <w:rPr>
                <w:rFonts w:ascii="Arial" w:hAnsi="Arial" w:cs="Arial"/>
                <w:bCs/>
                <w:sz w:val="22"/>
              </w:rPr>
              <w:t xml:space="preserve">Kenneth York        </w:t>
            </w:r>
          </w:p>
        </w:tc>
        <w:tc>
          <w:tcPr>
            <w:tcW w:w="900" w:type="dxa"/>
          </w:tcPr>
          <w:p w:rsidR="00516929" w:rsidRPr="00894221" w:rsidRDefault="00516929" w:rsidP="006E186A">
            <w:pPr>
              <w:spacing w:line="276" w:lineRule="auto"/>
              <w:rPr>
                <w:rFonts w:ascii="Arial" w:hAnsi="Arial" w:cs="Arial"/>
                <w:bCs/>
                <w:sz w:val="22"/>
              </w:rPr>
            </w:pPr>
            <w:r w:rsidRPr="00894221">
              <w:rPr>
                <w:rFonts w:ascii="Arial" w:hAnsi="Arial" w:cs="Arial"/>
                <w:bCs/>
                <w:sz w:val="22"/>
              </w:rPr>
              <w:t>LRS</w:t>
            </w:r>
          </w:p>
        </w:tc>
      </w:tr>
    </w:tbl>
    <w:p w:rsidR="00516929" w:rsidRDefault="00516929">
      <w:pPr>
        <w:pStyle w:val="Default"/>
        <w:spacing w:after="240"/>
        <w:rPr>
          <w:rFonts w:ascii="Arial" w:eastAsia="Arial" w:hAnsi="Arial" w:cs="Arial"/>
          <w:sz w:val="28"/>
          <w:szCs w:val="28"/>
        </w:rPr>
      </w:pPr>
    </w:p>
    <w:p w:rsidR="00F24E7E" w:rsidRDefault="00586E7C">
      <w:pPr>
        <w:pStyle w:val="Default"/>
        <w:spacing w:after="240"/>
        <w:rPr>
          <w:rFonts w:ascii="Arial" w:eastAsia="Arial" w:hAnsi="Arial" w:cs="Arial"/>
          <w:b/>
          <w:bCs/>
          <w:i/>
          <w:iCs/>
          <w:sz w:val="28"/>
          <w:szCs w:val="28"/>
        </w:rPr>
      </w:pPr>
      <w:r>
        <w:rPr>
          <w:rFonts w:ascii="Arial" w:hAnsi="Arial"/>
          <w:b/>
          <w:bCs/>
          <w:i/>
          <w:iCs/>
          <w:sz w:val="28"/>
          <w:szCs w:val="28"/>
        </w:rPr>
        <w:t>Promotion and Marketing of SAME Survey and Taskforce</w:t>
      </w:r>
    </w:p>
    <w:p w:rsidR="0044725C" w:rsidRDefault="00586E7C">
      <w:pPr>
        <w:pStyle w:val="Default"/>
        <w:spacing w:after="240"/>
        <w:rPr>
          <w:rFonts w:ascii="Arial" w:hAnsi="Arial"/>
          <w:sz w:val="28"/>
          <w:szCs w:val="28"/>
        </w:rPr>
      </w:pPr>
      <w:r>
        <w:rPr>
          <w:rFonts w:ascii="Arial" w:hAnsi="Arial"/>
          <w:sz w:val="28"/>
          <w:szCs w:val="28"/>
        </w:rPr>
        <w:t xml:space="preserve">Rod Washington of XP Synergy gave an overview of the </w:t>
      </w:r>
      <w:r w:rsidR="0044725C">
        <w:rPr>
          <w:rFonts w:ascii="Arial" w:hAnsi="Arial"/>
          <w:sz w:val="28"/>
          <w:szCs w:val="28"/>
        </w:rPr>
        <w:t>videos promoting the SAME Survey.  There are separate videos with Governor and other state leaders that were produced</w:t>
      </w:r>
      <w:r>
        <w:rPr>
          <w:rFonts w:ascii="Arial" w:hAnsi="Arial"/>
          <w:sz w:val="28"/>
          <w:szCs w:val="28"/>
        </w:rPr>
        <w:t xml:space="preserve">. </w:t>
      </w:r>
      <w:r w:rsidR="0044725C">
        <w:rPr>
          <w:rFonts w:ascii="Arial" w:hAnsi="Arial"/>
          <w:sz w:val="28"/>
          <w:szCs w:val="28"/>
        </w:rPr>
        <w:t xml:space="preserve">They can be found at </w:t>
      </w:r>
      <w:hyperlink r:id="rId6" w:history="1">
        <w:r w:rsidR="0044725C" w:rsidRPr="0044725C">
          <w:rPr>
            <w:rStyle w:val="Hyperlink"/>
            <w:rFonts w:ascii="Arial" w:hAnsi="Arial"/>
            <w:color w:val="0000FF"/>
            <w:sz w:val="28"/>
            <w:szCs w:val="28"/>
          </w:rPr>
          <w:t>https://gov.louisiana.gov/index.cfm/page/126</w:t>
        </w:r>
      </w:hyperlink>
      <w:r w:rsidR="0044725C">
        <w:rPr>
          <w:rFonts w:ascii="Arial" w:hAnsi="Arial"/>
          <w:sz w:val="28"/>
          <w:szCs w:val="28"/>
        </w:rPr>
        <w:t xml:space="preserve">.  </w:t>
      </w:r>
    </w:p>
    <w:p w:rsidR="00F24E7E" w:rsidRDefault="00DC202D">
      <w:pPr>
        <w:pStyle w:val="Default"/>
        <w:spacing w:after="240"/>
        <w:rPr>
          <w:rFonts w:ascii="Arial" w:eastAsia="Arial" w:hAnsi="Arial" w:cs="Arial"/>
          <w:sz w:val="28"/>
          <w:szCs w:val="28"/>
        </w:rPr>
      </w:pPr>
      <w:r w:rsidRPr="00DC202D">
        <w:rPr>
          <w:rFonts w:ascii="Arial" w:eastAsia="Arial" w:hAnsi="Arial" w:cs="Arial"/>
          <w:noProof/>
          <w:sz w:val="28"/>
        </w:rPr>
        <mc:AlternateContent>
          <mc:Choice Requires="wps">
            <w:drawing>
              <wp:anchor distT="45720" distB="45720" distL="114300" distR="114300" simplePos="0" relativeHeight="251659264" behindDoc="0" locked="0" layoutInCell="1" allowOverlap="1">
                <wp:simplePos x="0" y="0"/>
                <wp:positionH relativeFrom="column">
                  <wp:posOffset>4794250</wp:posOffset>
                </wp:positionH>
                <wp:positionV relativeFrom="paragraph">
                  <wp:posOffset>1732280</wp:posOffset>
                </wp:positionV>
                <wp:extent cx="1295400" cy="1225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25550"/>
                        </a:xfrm>
                        <a:prstGeom prst="rect">
                          <a:avLst/>
                        </a:prstGeom>
                        <a:solidFill>
                          <a:srgbClr val="FFFFFF"/>
                        </a:solidFill>
                        <a:ln w="9525">
                          <a:solidFill>
                            <a:srgbClr val="000000"/>
                          </a:solidFill>
                          <a:miter lim="800000"/>
                          <a:headEnd/>
                          <a:tailEnd/>
                        </a:ln>
                      </wps:spPr>
                      <wps:txbx>
                        <w:txbxContent>
                          <w:p w:rsidR="00DC202D" w:rsidRDefault="00DC202D">
                            <w:r>
                              <w:rPr>
                                <w:rFonts w:ascii="Arial" w:hAnsi="Arial"/>
                                <w:noProof/>
                                <w:sz w:val="28"/>
                                <w:szCs w:val="28"/>
                              </w:rPr>
                              <w:drawing>
                                <wp:inline distT="0" distB="0" distL="0" distR="0" wp14:anchorId="34483F68" wp14:editId="52B55B29">
                                  <wp:extent cx="118745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5pt;margin-top:136.4pt;width:102pt;height: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">
                <v:textbox>
                  <w:txbxContent>
                    <w:p w:rsidR="00DC202D" w:rsidRDefault="00DC202D">
                      <w:r>
                        <w:rPr>
                          <w:rFonts w:ascii="Arial" w:hAnsi="Arial"/>
                          <w:noProof/>
                          <w:sz w:val="28"/>
                          <w:szCs w:val="28"/>
                        </w:rPr>
                        <w:drawing>
                          <wp:inline distT="0" distB="0" distL="0" distR="0" wp14:anchorId="34483F68" wp14:editId="52B55B29">
                            <wp:extent cx="118745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pic:spPr>
                                </pic:pic>
                              </a:graphicData>
                            </a:graphic>
                          </wp:inline>
                        </w:drawing>
                      </w:r>
                    </w:p>
                  </w:txbxContent>
                </v:textbox>
                <w10:wrap type="square"/>
              </v:shape>
            </w:pict>
          </mc:Fallback>
        </mc:AlternateContent>
      </w:r>
      <w:r w:rsidR="00586E7C">
        <w:rPr>
          <w:rFonts w:ascii="Arial" w:hAnsi="Arial"/>
          <w:sz w:val="28"/>
          <w:szCs w:val="28"/>
        </w:rPr>
        <w:t xml:space="preserve">The survey was sent out to state employees with the hope of improving equitable access to employment for individuals with disabilities. Bambi added that the Governor’s communication team reached out to the communication teams of various state agencies for assistance with promotion of the survey and various videos produced. Nicholas Halaby from the Governor’s Communications Team added that they built out </w:t>
      </w:r>
      <w:hyperlink r:id="rId9" w:history="1">
        <w:r w:rsidR="00586E7C" w:rsidRPr="0044725C">
          <w:rPr>
            <w:rStyle w:val="Hyperlink"/>
            <w:rFonts w:ascii="Arial" w:hAnsi="Arial"/>
            <w:color w:val="0000FF"/>
            <w:sz w:val="28"/>
            <w:szCs w:val="28"/>
          </w:rPr>
          <w:t>a page on the Governor’s website for the SAME survey, which includes all of the videos</w:t>
        </w:r>
      </w:hyperlink>
      <w:r w:rsidR="00586E7C">
        <w:rPr>
          <w:rFonts w:ascii="Arial" w:hAnsi="Arial"/>
          <w:sz w:val="28"/>
          <w:szCs w:val="28"/>
        </w:rPr>
        <w:t xml:space="preserve">. Additionally, </w:t>
      </w:r>
      <w:r w:rsidR="0044725C">
        <w:rPr>
          <w:rFonts w:ascii="Arial" w:hAnsi="Arial"/>
          <w:sz w:val="28"/>
          <w:szCs w:val="28"/>
        </w:rPr>
        <w:t>the promotional videos were</w:t>
      </w:r>
      <w:r w:rsidR="00586E7C">
        <w:rPr>
          <w:rFonts w:ascii="Arial" w:hAnsi="Arial"/>
          <w:sz w:val="28"/>
          <w:szCs w:val="28"/>
        </w:rPr>
        <w:t xml:space="preserve"> shared on all the Governor’s social media platforms.  </w:t>
      </w:r>
    </w:p>
    <w:p w:rsidR="00F24E7E" w:rsidRDefault="00586E7C">
      <w:pPr>
        <w:pStyle w:val="Default"/>
        <w:spacing w:after="240"/>
        <w:rPr>
          <w:rFonts w:ascii="Arial" w:eastAsia="Arial" w:hAnsi="Arial" w:cs="Arial"/>
          <w:sz w:val="28"/>
          <w:szCs w:val="28"/>
        </w:rPr>
      </w:pPr>
      <w:r>
        <w:rPr>
          <w:rFonts w:ascii="Arial" w:hAnsi="Arial"/>
          <w:sz w:val="28"/>
          <w:szCs w:val="28"/>
        </w:rPr>
        <w:t>Lauren Womack mentioned that a QR code for the survey has been created at the suggestion of Tanisha Matthews. The hope is to reach employees who may not have access to a computer terminal at work.</w:t>
      </w:r>
    </w:p>
    <w:p w:rsidR="00F24E7E" w:rsidRDefault="00516929">
      <w:pPr>
        <w:pStyle w:val="Default"/>
        <w:spacing w:after="240"/>
        <w:rPr>
          <w:rFonts w:ascii="Arial" w:eastAsia="Arial" w:hAnsi="Arial" w:cs="Arial"/>
          <w:b/>
          <w:bCs/>
          <w:i/>
          <w:iCs/>
          <w:sz w:val="28"/>
          <w:szCs w:val="28"/>
        </w:rPr>
      </w:pPr>
      <w:r>
        <w:rPr>
          <w:rFonts w:ascii="Arial" w:hAnsi="Arial"/>
          <w:b/>
          <w:bCs/>
          <w:i/>
          <w:iCs/>
          <w:sz w:val="28"/>
          <w:szCs w:val="28"/>
        </w:rPr>
        <w:t xml:space="preserve">Agency Plans to Promote Survey </w:t>
      </w:r>
      <w:proofErr w:type="gramStart"/>
      <w:r>
        <w:rPr>
          <w:rFonts w:ascii="Arial" w:hAnsi="Arial"/>
          <w:b/>
          <w:bCs/>
          <w:i/>
          <w:iCs/>
          <w:sz w:val="28"/>
          <w:szCs w:val="28"/>
        </w:rPr>
        <w:t>A</w:t>
      </w:r>
      <w:r w:rsidR="00586E7C">
        <w:rPr>
          <w:rFonts w:ascii="Arial" w:hAnsi="Arial"/>
          <w:b/>
          <w:bCs/>
          <w:i/>
          <w:iCs/>
          <w:sz w:val="28"/>
          <w:szCs w:val="28"/>
        </w:rPr>
        <w:t>mong</w:t>
      </w:r>
      <w:proofErr w:type="gramEnd"/>
      <w:r w:rsidR="00586E7C">
        <w:rPr>
          <w:rFonts w:ascii="Arial" w:hAnsi="Arial"/>
          <w:b/>
          <w:bCs/>
          <w:i/>
          <w:iCs/>
          <w:sz w:val="28"/>
          <w:szCs w:val="28"/>
        </w:rPr>
        <w:t xml:space="preserve"> Employees</w:t>
      </w:r>
    </w:p>
    <w:p w:rsidR="00F24E7E" w:rsidRDefault="00586E7C">
      <w:pPr>
        <w:pStyle w:val="Default"/>
        <w:spacing w:after="240"/>
        <w:rPr>
          <w:rFonts w:ascii="Arial" w:eastAsia="Arial" w:hAnsi="Arial" w:cs="Arial"/>
          <w:sz w:val="28"/>
          <w:szCs w:val="28"/>
        </w:rPr>
      </w:pPr>
      <w:r>
        <w:rPr>
          <w:rFonts w:ascii="Arial" w:hAnsi="Arial"/>
          <w:sz w:val="28"/>
          <w:szCs w:val="28"/>
        </w:rPr>
        <w:t xml:space="preserve">Doug Bordelon of DEQ stated that the email would be sent out from their secretary, in addition to being shared on the DEQ internet. Notifications of the survey will also be placed in physical office locations where other HR announcements are posted. </w:t>
      </w:r>
    </w:p>
    <w:p w:rsidR="00F24E7E" w:rsidRDefault="00586E7C">
      <w:pPr>
        <w:pStyle w:val="Default"/>
        <w:spacing w:after="240"/>
        <w:rPr>
          <w:rFonts w:ascii="Arial" w:eastAsia="Arial" w:hAnsi="Arial" w:cs="Arial"/>
          <w:sz w:val="28"/>
          <w:szCs w:val="28"/>
        </w:rPr>
      </w:pPr>
      <w:r>
        <w:rPr>
          <w:rFonts w:ascii="Arial" w:hAnsi="Arial"/>
          <w:sz w:val="28"/>
          <w:szCs w:val="28"/>
        </w:rPr>
        <w:lastRenderedPageBreak/>
        <w:t>Burgundy Cummings of the Secretary of State’s Office mentioned that there has been barriers to garnering survey responses, because individuals perceive the emails as a scam. This is likely due to the phishing testing the office has been doing recently. She mentioned advertising the survey via physical flyers, with potential future inclusion of the QR code.</w:t>
      </w:r>
    </w:p>
    <w:p w:rsidR="00F24E7E" w:rsidRDefault="00586E7C">
      <w:pPr>
        <w:pStyle w:val="Default"/>
        <w:spacing w:after="240"/>
        <w:rPr>
          <w:rFonts w:ascii="Arial" w:eastAsia="Arial" w:hAnsi="Arial" w:cs="Arial"/>
          <w:sz w:val="28"/>
          <w:szCs w:val="28"/>
        </w:rPr>
      </w:pPr>
      <w:r>
        <w:rPr>
          <w:rFonts w:ascii="Arial" w:hAnsi="Arial"/>
          <w:sz w:val="28"/>
          <w:szCs w:val="28"/>
        </w:rPr>
        <w:t xml:space="preserve">Lauren Guttzeit of LDH mentioned that they will be rolling out the survey via the LDH email list, and via the LDH Today newsletter. Marcella Jones mentioned </w:t>
      </w:r>
      <w:r w:rsidR="009C1C3F">
        <w:rPr>
          <w:rFonts w:ascii="Arial" w:hAnsi="Arial"/>
          <w:sz w:val="28"/>
          <w:szCs w:val="28"/>
        </w:rPr>
        <w:t>that</w:t>
      </w:r>
      <w:r>
        <w:rPr>
          <w:rFonts w:ascii="Arial" w:hAnsi="Arial"/>
          <w:sz w:val="28"/>
          <w:szCs w:val="28"/>
        </w:rPr>
        <w:t xml:space="preserve"> the HR </w:t>
      </w:r>
      <w:r w:rsidR="000D47E0">
        <w:rPr>
          <w:rFonts w:ascii="Arial" w:hAnsi="Arial"/>
          <w:sz w:val="28"/>
          <w:szCs w:val="28"/>
        </w:rPr>
        <w:t>staff</w:t>
      </w:r>
      <w:r>
        <w:rPr>
          <w:rFonts w:ascii="Arial" w:hAnsi="Arial"/>
          <w:sz w:val="28"/>
          <w:szCs w:val="28"/>
        </w:rPr>
        <w:t xml:space="preserve"> have also be</w:t>
      </w:r>
      <w:r w:rsidR="009C1C3F">
        <w:rPr>
          <w:rFonts w:ascii="Arial" w:hAnsi="Arial"/>
          <w:sz w:val="28"/>
          <w:szCs w:val="28"/>
        </w:rPr>
        <w:t xml:space="preserve">en trying to promote the survey.  Bambi will reach out to the Human Services Districts/Authorities.  </w:t>
      </w:r>
    </w:p>
    <w:p w:rsidR="00F24E7E" w:rsidRDefault="00586E7C">
      <w:pPr>
        <w:pStyle w:val="Default"/>
        <w:spacing w:after="240"/>
        <w:rPr>
          <w:rFonts w:ascii="Arial" w:eastAsia="Arial" w:hAnsi="Arial" w:cs="Arial"/>
          <w:sz w:val="28"/>
          <w:szCs w:val="28"/>
        </w:rPr>
      </w:pPr>
      <w:r>
        <w:rPr>
          <w:rFonts w:ascii="Arial" w:hAnsi="Arial"/>
          <w:sz w:val="28"/>
          <w:szCs w:val="28"/>
        </w:rPr>
        <w:t>Samantha Harris with Civil Service explained that they have sent out the survey, and plan to send out weekly reminders. They also are planning to add it to their internet newsfeed.</w:t>
      </w:r>
    </w:p>
    <w:p w:rsidR="00F24E7E" w:rsidRDefault="00586E7C">
      <w:pPr>
        <w:pStyle w:val="Default"/>
        <w:spacing w:after="240"/>
        <w:rPr>
          <w:rFonts w:ascii="Arial" w:eastAsia="Arial" w:hAnsi="Arial" w:cs="Arial"/>
          <w:sz w:val="28"/>
          <w:szCs w:val="28"/>
        </w:rPr>
      </w:pPr>
      <w:r>
        <w:rPr>
          <w:rFonts w:ascii="Arial" w:hAnsi="Arial"/>
          <w:sz w:val="28"/>
          <w:szCs w:val="28"/>
        </w:rPr>
        <w:t xml:space="preserve">Shelly Johnson with DCFS stated that they have already garnered 500 responses. </w:t>
      </w:r>
      <w:r w:rsidR="00C712EF">
        <w:rPr>
          <w:rFonts w:ascii="Arial" w:hAnsi="Arial"/>
          <w:sz w:val="28"/>
          <w:szCs w:val="28"/>
        </w:rPr>
        <w:t>Secretary Walters sent an email to employees asking for their participation and including the video she was in.</w:t>
      </w:r>
    </w:p>
    <w:p w:rsidR="00F24E7E" w:rsidRDefault="00586E7C">
      <w:pPr>
        <w:pStyle w:val="Default"/>
        <w:spacing w:after="240"/>
        <w:rPr>
          <w:rFonts w:ascii="Arial" w:eastAsia="Arial" w:hAnsi="Arial" w:cs="Arial"/>
          <w:sz w:val="28"/>
          <w:szCs w:val="28"/>
        </w:rPr>
      </w:pPr>
      <w:proofErr w:type="spellStart"/>
      <w:r>
        <w:rPr>
          <w:rFonts w:ascii="Arial" w:hAnsi="Arial"/>
          <w:sz w:val="28"/>
          <w:szCs w:val="28"/>
        </w:rPr>
        <w:t>Andrell</w:t>
      </w:r>
      <w:proofErr w:type="spellEnd"/>
      <w:r>
        <w:rPr>
          <w:rFonts w:ascii="Arial" w:hAnsi="Arial"/>
          <w:sz w:val="28"/>
          <w:szCs w:val="28"/>
        </w:rPr>
        <w:t xml:space="preserve"> Ward with DOTD shared that an email was sent out with the survey link and the video with Dr. Wilson on the 11th. She stated that DOTD would consider sharing the QR code as well. </w:t>
      </w:r>
    </w:p>
    <w:p w:rsidR="00F24E7E" w:rsidRDefault="00586E7C">
      <w:pPr>
        <w:pStyle w:val="Default"/>
        <w:spacing w:after="240"/>
        <w:rPr>
          <w:rFonts w:ascii="Arial" w:eastAsia="Arial" w:hAnsi="Arial" w:cs="Arial"/>
          <w:sz w:val="28"/>
          <w:szCs w:val="28"/>
        </w:rPr>
      </w:pPr>
      <w:r>
        <w:rPr>
          <w:rFonts w:ascii="Arial" w:hAnsi="Arial"/>
          <w:sz w:val="28"/>
          <w:szCs w:val="28"/>
        </w:rPr>
        <w:t xml:space="preserve">Tanisha Matthews from DOC stated that they shared the survey via email, but that garnering responses were difficult because the corrections officers do not have state emails and do not use computers frequently at work. They will continue to share the survey via the QR code. </w:t>
      </w:r>
    </w:p>
    <w:p w:rsidR="00F24E7E" w:rsidRDefault="00586E7C">
      <w:pPr>
        <w:pStyle w:val="Default"/>
        <w:spacing w:after="240"/>
        <w:rPr>
          <w:rFonts w:ascii="Arial" w:eastAsia="Arial" w:hAnsi="Arial" w:cs="Arial"/>
          <w:sz w:val="28"/>
          <w:szCs w:val="28"/>
        </w:rPr>
      </w:pPr>
      <w:r>
        <w:rPr>
          <w:rFonts w:ascii="Arial" w:hAnsi="Arial"/>
          <w:sz w:val="28"/>
          <w:szCs w:val="28"/>
        </w:rPr>
        <w:t>Bambi Polotzola from GODA said that she would reach out to the GOEA to ensure the survey is reaching their population.</w:t>
      </w:r>
    </w:p>
    <w:p w:rsidR="00F24E7E" w:rsidRDefault="00586E7C">
      <w:pPr>
        <w:pStyle w:val="Default"/>
        <w:spacing w:after="240"/>
        <w:rPr>
          <w:rFonts w:ascii="Arial" w:eastAsia="Arial" w:hAnsi="Arial" w:cs="Arial"/>
          <w:sz w:val="28"/>
          <w:szCs w:val="28"/>
        </w:rPr>
      </w:pPr>
      <w:r>
        <w:rPr>
          <w:rFonts w:ascii="Arial" w:hAnsi="Arial"/>
          <w:sz w:val="28"/>
          <w:szCs w:val="28"/>
        </w:rPr>
        <w:t xml:space="preserve">Brandon Blanchard of OHR shared that periodic reminder emails would be sent to their staff, and expressed support for the QR code. </w:t>
      </w:r>
    </w:p>
    <w:p w:rsidR="00F24E7E" w:rsidRDefault="00586E7C">
      <w:pPr>
        <w:pStyle w:val="Default"/>
        <w:spacing w:after="240"/>
        <w:rPr>
          <w:rFonts w:ascii="Arial" w:eastAsia="Arial" w:hAnsi="Arial" w:cs="Arial"/>
          <w:sz w:val="28"/>
          <w:szCs w:val="28"/>
        </w:rPr>
      </w:pPr>
      <w:r>
        <w:rPr>
          <w:rFonts w:ascii="Arial" w:hAnsi="Arial"/>
          <w:sz w:val="28"/>
          <w:szCs w:val="28"/>
        </w:rPr>
        <w:t>Kenneth York from LRS shared that Melissa Bayham, LRS Executive Director, sent out the survey to all LRS staff statewide. Daphne Stewart said that she was considering creating a catchy subject line. They also are considering placing a flyer in the Credit Union, since that area has high foot traffic.</w:t>
      </w:r>
    </w:p>
    <w:p w:rsidR="00F24E7E" w:rsidRDefault="00586E7C">
      <w:pPr>
        <w:pStyle w:val="Default"/>
        <w:spacing w:after="240"/>
        <w:rPr>
          <w:rFonts w:ascii="Arial" w:eastAsia="Arial" w:hAnsi="Arial" w:cs="Arial"/>
          <w:sz w:val="28"/>
          <w:szCs w:val="28"/>
        </w:rPr>
      </w:pPr>
      <w:r>
        <w:rPr>
          <w:rFonts w:ascii="Arial" w:hAnsi="Arial"/>
          <w:sz w:val="28"/>
          <w:szCs w:val="28"/>
        </w:rPr>
        <w:t xml:space="preserve">Julie Chapman with the Lieutenant Governor’s Office stated that they sent out an email, and are planning to send out a reminder email later on. </w:t>
      </w:r>
    </w:p>
    <w:p w:rsidR="00F24E7E" w:rsidRDefault="00586E7C">
      <w:pPr>
        <w:pStyle w:val="Default"/>
        <w:spacing w:after="240"/>
        <w:rPr>
          <w:rFonts w:ascii="Arial" w:eastAsia="Arial" w:hAnsi="Arial" w:cs="Arial"/>
          <w:sz w:val="28"/>
          <w:szCs w:val="28"/>
        </w:rPr>
      </w:pPr>
      <w:r>
        <w:rPr>
          <w:rFonts w:ascii="Arial" w:hAnsi="Arial"/>
          <w:sz w:val="28"/>
          <w:szCs w:val="28"/>
        </w:rPr>
        <w:lastRenderedPageBreak/>
        <w:t>Beverly James of GOS</w:t>
      </w:r>
      <w:r w:rsidR="00B010FA">
        <w:rPr>
          <w:rFonts w:ascii="Arial" w:hAnsi="Arial"/>
          <w:sz w:val="28"/>
          <w:szCs w:val="28"/>
        </w:rPr>
        <w:t>H</w:t>
      </w:r>
      <w:r>
        <w:rPr>
          <w:rFonts w:ascii="Arial" w:hAnsi="Arial"/>
          <w:sz w:val="28"/>
          <w:szCs w:val="28"/>
        </w:rPr>
        <w:t xml:space="preserve">EP stated that they sent an email agency-wide from the director. They are planning to give everyone a week to complete the survey before sending a reminder email. </w:t>
      </w:r>
    </w:p>
    <w:p w:rsidR="00F24E7E" w:rsidRDefault="00586E7C">
      <w:pPr>
        <w:pStyle w:val="Default"/>
        <w:spacing w:after="240"/>
        <w:rPr>
          <w:rFonts w:ascii="Arial" w:eastAsia="Arial" w:hAnsi="Arial" w:cs="Arial"/>
          <w:sz w:val="28"/>
          <w:szCs w:val="28"/>
        </w:rPr>
      </w:pPr>
      <w:proofErr w:type="spellStart"/>
      <w:r>
        <w:rPr>
          <w:rFonts w:ascii="Arial" w:hAnsi="Arial"/>
          <w:sz w:val="28"/>
          <w:szCs w:val="28"/>
        </w:rPr>
        <w:t>Sy</w:t>
      </w:r>
      <w:proofErr w:type="spellEnd"/>
      <w:r>
        <w:rPr>
          <w:rFonts w:ascii="Arial" w:hAnsi="Arial"/>
          <w:sz w:val="28"/>
          <w:szCs w:val="28"/>
        </w:rPr>
        <w:t xml:space="preserve"> Brumfield from the Department of Veteran Affairs said they sent out the link via email to all staff who have a state email address. They will also create a flyer with the QR code for their various locations to reach employees without email addresses.</w:t>
      </w:r>
    </w:p>
    <w:p w:rsidR="00F24E7E" w:rsidRDefault="00586E7C">
      <w:pPr>
        <w:pStyle w:val="Default"/>
        <w:spacing w:after="240"/>
        <w:rPr>
          <w:rFonts w:ascii="Arial" w:eastAsia="Arial" w:hAnsi="Arial" w:cs="Arial"/>
          <w:sz w:val="28"/>
          <w:szCs w:val="28"/>
        </w:rPr>
      </w:pPr>
      <w:r>
        <w:rPr>
          <w:rFonts w:ascii="Arial" w:hAnsi="Arial"/>
          <w:sz w:val="28"/>
          <w:szCs w:val="28"/>
        </w:rPr>
        <w:t xml:space="preserve">Kayla Kirby from DNR shared that they sent out an email. They also created a graphic to share on their digital monitors. </w:t>
      </w:r>
    </w:p>
    <w:p w:rsidR="00DC202D" w:rsidRDefault="00586E7C">
      <w:pPr>
        <w:pStyle w:val="Default"/>
        <w:spacing w:after="240"/>
        <w:rPr>
          <w:rFonts w:ascii="Arial" w:hAnsi="Arial"/>
          <w:sz w:val="28"/>
          <w:szCs w:val="28"/>
        </w:rPr>
      </w:pPr>
      <w:r>
        <w:rPr>
          <w:rFonts w:ascii="Arial" w:hAnsi="Arial"/>
          <w:sz w:val="28"/>
          <w:szCs w:val="28"/>
        </w:rPr>
        <w:t xml:space="preserve">Lauren Womack suggested posting the QR code in bathrooms, because every employee will likely see it. </w:t>
      </w:r>
    </w:p>
    <w:p w:rsidR="00DC202D" w:rsidRPr="00DC202D" w:rsidRDefault="00586E7C">
      <w:pPr>
        <w:pStyle w:val="Default"/>
        <w:spacing w:after="240"/>
        <w:rPr>
          <w:rFonts w:ascii="Arial" w:eastAsia="Arial" w:hAnsi="Arial" w:cs="Arial"/>
          <w:sz w:val="28"/>
          <w:szCs w:val="28"/>
        </w:rPr>
      </w:pPr>
      <w:r>
        <w:rPr>
          <w:rFonts w:ascii="Arial" w:hAnsi="Arial"/>
          <w:sz w:val="28"/>
          <w:szCs w:val="28"/>
        </w:rPr>
        <w:t>Tanisha Matthews suggested the creation of a single flyer for all organizations to utilize; Bambi stated that the Governor’s communications team could draft a flyer.</w:t>
      </w:r>
    </w:p>
    <w:p w:rsidR="00F24E7E" w:rsidRDefault="00586E7C">
      <w:pPr>
        <w:pStyle w:val="Default"/>
        <w:spacing w:after="240"/>
        <w:rPr>
          <w:rFonts w:ascii="Arial" w:eastAsia="Arial" w:hAnsi="Arial" w:cs="Arial"/>
          <w:i/>
          <w:iCs/>
          <w:sz w:val="28"/>
          <w:szCs w:val="28"/>
        </w:rPr>
      </w:pPr>
      <w:r>
        <w:rPr>
          <w:rFonts w:ascii="Arial" w:hAnsi="Arial"/>
          <w:i/>
          <w:iCs/>
          <w:sz w:val="28"/>
          <w:szCs w:val="28"/>
        </w:rPr>
        <w:t xml:space="preserve">The survey will close on August 31st, and data analysis will be provided to agencies by September 31st. </w:t>
      </w:r>
    </w:p>
    <w:p w:rsidR="00F24E7E" w:rsidRDefault="00586E7C">
      <w:pPr>
        <w:pStyle w:val="Default"/>
        <w:spacing w:after="240"/>
        <w:rPr>
          <w:rFonts w:ascii="Arial" w:eastAsia="Arial" w:hAnsi="Arial" w:cs="Arial"/>
          <w:b/>
          <w:bCs/>
          <w:i/>
          <w:iCs/>
          <w:sz w:val="28"/>
          <w:szCs w:val="28"/>
        </w:rPr>
      </w:pPr>
      <w:r>
        <w:rPr>
          <w:rFonts w:ascii="Arial" w:hAnsi="Arial"/>
          <w:b/>
          <w:bCs/>
          <w:i/>
          <w:iCs/>
          <w:sz w:val="28"/>
          <w:szCs w:val="28"/>
        </w:rPr>
        <w:t>Agency Reports/Plans will be due by October 31st.</w:t>
      </w:r>
    </w:p>
    <w:p w:rsidR="00F24E7E" w:rsidRDefault="00586E7C">
      <w:pPr>
        <w:pStyle w:val="Default"/>
        <w:spacing w:after="240"/>
        <w:rPr>
          <w:rFonts w:ascii="Arial" w:eastAsia="Arial" w:hAnsi="Arial" w:cs="Arial"/>
          <w:sz w:val="28"/>
          <w:szCs w:val="28"/>
        </w:rPr>
      </w:pPr>
      <w:r>
        <w:rPr>
          <w:rFonts w:ascii="Arial" w:hAnsi="Arial"/>
          <w:sz w:val="28"/>
          <w:szCs w:val="28"/>
        </w:rPr>
        <w:t xml:space="preserve">Lauren reminded everyone about agency reports due dates. She mentioned how the reports need to include quantitative measures of “success.” She suggested using S.M.A.R.T. (Specific, Measurable, Achievable, Realistic, and </w:t>
      </w:r>
      <w:r w:rsidR="00516929">
        <w:rPr>
          <w:rFonts w:ascii="Arial" w:hAnsi="Arial"/>
          <w:sz w:val="28"/>
          <w:szCs w:val="28"/>
        </w:rPr>
        <w:t>Time bound</w:t>
      </w:r>
      <w:r>
        <w:rPr>
          <w:rFonts w:ascii="Arial" w:hAnsi="Arial"/>
          <w:sz w:val="28"/>
          <w:szCs w:val="28"/>
        </w:rPr>
        <w:t>) goals.</w:t>
      </w:r>
    </w:p>
    <w:p w:rsidR="00F24E7E" w:rsidRDefault="00586E7C">
      <w:pPr>
        <w:pStyle w:val="Default"/>
        <w:spacing w:after="240"/>
        <w:rPr>
          <w:rFonts w:ascii="Arial" w:eastAsia="Arial" w:hAnsi="Arial" w:cs="Arial"/>
          <w:b/>
          <w:bCs/>
          <w:i/>
          <w:iCs/>
          <w:sz w:val="28"/>
          <w:szCs w:val="28"/>
        </w:rPr>
      </w:pPr>
      <w:r>
        <w:rPr>
          <w:rFonts w:ascii="Arial" w:hAnsi="Arial"/>
          <w:b/>
          <w:bCs/>
          <w:i/>
          <w:iCs/>
          <w:sz w:val="28"/>
          <w:szCs w:val="28"/>
        </w:rPr>
        <w:t>Update on Office of State ADA Coordinator</w:t>
      </w:r>
    </w:p>
    <w:p w:rsidR="00F24E7E" w:rsidRDefault="00586E7C">
      <w:pPr>
        <w:pStyle w:val="Default"/>
        <w:spacing w:after="240"/>
        <w:rPr>
          <w:rFonts w:ascii="Arial" w:eastAsia="Arial" w:hAnsi="Arial" w:cs="Arial"/>
          <w:sz w:val="28"/>
          <w:szCs w:val="28"/>
        </w:rPr>
      </w:pPr>
      <w:r>
        <w:rPr>
          <w:rFonts w:ascii="Arial" w:hAnsi="Arial"/>
          <w:sz w:val="28"/>
          <w:szCs w:val="28"/>
        </w:rPr>
        <w:t xml:space="preserve">Rikki David, the new statewide ADA Coordinator, shared that she has already reached out to various state agencies to solicit copies of their ADA plans. She suggested that each agencies’ plans could include networking with her. </w:t>
      </w:r>
    </w:p>
    <w:p w:rsidR="00F24E7E" w:rsidRDefault="00586E7C">
      <w:pPr>
        <w:pStyle w:val="Default"/>
        <w:spacing w:after="240"/>
        <w:rPr>
          <w:rFonts w:ascii="Arial" w:eastAsia="Arial" w:hAnsi="Arial" w:cs="Arial"/>
          <w:b/>
          <w:bCs/>
          <w:i/>
          <w:iCs/>
          <w:sz w:val="28"/>
          <w:szCs w:val="28"/>
        </w:rPr>
      </w:pPr>
      <w:r>
        <w:rPr>
          <w:rFonts w:ascii="Arial" w:hAnsi="Arial"/>
          <w:b/>
          <w:bCs/>
          <w:i/>
          <w:iCs/>
          <w:sz w:val="28"/>
          <w:szCs w:val="28"/>
        </w:rPr>
        <w:t>Next Meeting: September 10, 2021</w:t>
      </w:r>
    </w:p>
    <w:p w:rsidR="00DC202D" w:rsidRDefault="00586E7C">
      <w:pPr>
        <w:pStyle w:val="Default"/>
        <w:spacing w:after="240"/>
        <w:rPr>
          <w:rFonts w:ascii="Arial" w:eastAsia="Arial" w:hAnsi="Arial" w:cs="Arial"/>
          <w:sz w:val="28"/>
          <w:szCs w:val="28"/>
        </w:rPr>
      </w:pPr>
      <w:bookmarkStart w:id="0" w:name="_GoBack"/>
      <w:r>
        <w:rPr>
          <w:rFonts w:ascii="Arial" w:hAnsi="Arial"/>
          <w:sz w:val="28"/>
          <w:szCs w:val="28"/>
        </w:rPr>
        <w:t>This meeting will include a presentation by State Exchange on Employment and Disability of ODEP</w:t>
      </w:r>
      <w:r w:rsidR="00DC202D">
        <w:rPr>
          <w:rFonts w:ascii="Arial" w:hAnsi="Arial"/>
          <w:sz w:val="28"/>
          <w:szCs w:val="28"/>
        </w:rPr>
        <w:t xml:space="preserve"> from 11am-12pm</w:t>
      </w:r>
      <w:r>
        <w:rPr>
          <w:rFonts w:ascii="Arial" w:hAnsi="Arial"/>
          <w:sz w:val="28"/>
          <w:szCs w:val="28"/>
        </w:rPr>
        <w:t>. The plan is to meet 30 minutes before or after the normal meeting time, so there is adequate time allowed for questions</w:t>
      </w:r>
      <w:r w:rsidR="00C712EF">
        <w:rPr>
          <w:rFonts w:ascii="Arial" w:hAnsi="Arial"/>
          <w:sz w:val="28"/>
          <w:szCs w:val="28"/>
        </w:rPr>
        <w:t>.</w:t>
      </w:r>
      <w:r w:rsidR="00DC202D">
        <w:rPr>
          <w:rFonts w:ascii="Times" w:eastAsia="Times" w:hAnsi="Times" w:cs="Times"/>
          <w:sz w:val="28"/>
          <w:szCs w:val="28"/>
        </w:rPr>
        <w:t xml:space="preserve"> </w:t>
      </w:r>
      <w:bookmarkEnd w:id="0"/>
    </w:p>
    <w:sectPr w:rsidR="00DC20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22C" w:rsidRDefault="00BC122C">
      <w:r>
        <w:separator/>
      </w:r>
    </w:p>
  </w:endnote>
  <w:endnote w:type="continuationSeparator" w:id="0">
    <w:p w:rsidR="00BC122C" w:rsidRDefault="00BC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FA" w:rsidRDefault="00B01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FA" w:rsidRDefault="00B01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FA" w:rsidRDefault="00B01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22C" w:rsidRDefault="00BC122C">
      <w:r>
        <w:separator/>
      </w:r>
    </w:p>
  </w:footnote>
  <w:footnote w:type="continuationSeparator" w:id="0">
    <w:p w:rsidR="00BC122C" w:rsidRDefault="00BC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FA" w:rsidRDefault="00B01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075426"/>
      <w:docPartObj>
        <w:docPartGallery w:val="Watermarks"/>
        <w:docPartUnique/>
      </w:docPartObj>
    </w:sdtPr>
    <w:sdtEndPr/>
    <w:sdtContent>
      <w:p w:rsidR="00B010FA" w:rsidRDefault="00BC12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FA" w:rsidRDefault="00B01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7E"/>
    <w:rsid w:val="000D47E0"/>
    <w:rsid w:val="002C214C"/>
    <w:rsid w:val="0044725C"/>
    <w:rsid w:val="00516929"/>
    <w:rsid w:val="00586E7C"/>
    <w:rsid w:val="009C1C3F"/>
    <w:rsid w:val="00B010FA"/>
    <w:rsid w:val="00BC122C"/>
    <w:rsid w:val="00C712EF"/>
    <w:rsid w:val="00DC202D"/>
    <w:rsid w:val="00F2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F3BBA08-E9FC-43DC-84A9-B991DBED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B010FA"/>
    <w:pPr>
      <w:tabs>
        <w:tab w:val="center" w:pos="4680"/>
        <w:tab w:val="right" w:pos="9360"/>
      </w:tabs>
    </w:pPr>
  </w:style>
  <w:style w:type="character" w:customStyle="1" w:styleId="HeaderChar">
    <w:name w:val="Header Char"/>
    <w:basedOn w:val="DefaultParagraphFont"/>
    <w:link w:val="Header"/>
    <w:uiPriority w:val="99"/>
    <w:rsid w:val="00B010FA"/>
    <w:rPr>
      <w:sz w:val="24"/>
      <w:szCs w:val="24"/>
    </w:rPr>
  </w:style>
  <w:style w:type="paragraph" w:styleId="Footer">
    <w:name w:val="footer"/>
    <w:basedOn w:val="Normal"/>
    <w:link w:val="FooterChar"/>
    <w:uiPriority w:val="99"/>
    <w:unhideWhenUsed/>
    <w:rsid w:val="00B010FA"/>
    <w:pPr>
      <w:tabs>
        <w:tab w:val="center" w:pos="4680"/>
        <w:tab w:val="right" w:pos="9360"/>
      </w:tabs>
    </w:pPr>
  </w:style>
  <w:style w:type="character" w:customStyle="1" w:styleId="FooterChar">
    <w:name w:val="Footer Char"/>
    <w:basedOn w:val="DefaultParagraphFont"/>
    <w:link w:val="Footer"/>
    <w:uiPriority w:val="99"/>
    <w:rsid w:val="00B010FA"/>
    <w:rPr>
      <w:sz w:val="24"/>
      <w:szCs w:val="24"/>
    </w:rPr>
  </w:style>
  <w:style w:type="table" w:styleId="TableGrid">
    <w:name w:val="Table Grid"/>
    <w:basedOn w:val="TableNormal"/>
    <w:uiPriority w:val="59"/>
    <w:rsid w:val="0051692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0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ov.louisiana.gov/index.cfm/page/126"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gov.louisiana.gov/index.cfm/page/126"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025792-76E6-4D58-9D43-D46A4F50B110}">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Polotzola, Bambi</dc:creator>
  <cp:lastModifiedBy>Polotzola, Bambi</cp:lastModifiedBy>
  <cp:revision>5</cp:revision>
  <dcterms:created xsi:type="dcterms:W3CDTF">2021-08-13T20:43:00Z</dcterms:created>
  <dcterms:modified xsi:type="dcterms:W3CDTF">2021-09-29T16:38:00Z</dcterms:modified>
</cp:coreProperties>
</file>